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round" w:vAnchor="margin" w:hAnchor="text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en-US" w:eastAsia="zh-CN"/>
        </w:rPr>
        <w:t>附件：</w:t>
      </w:r>
    </w:p>
    <w:p>
      <w:pPr>
        <w:keepNext w:val="0"/>
        <w:keepLines w:val="0"/>
        <w:pageBreakBefore w:val="0"/>
        <w:framePr w:wrap="around" w:vAnchor="margin" w:hAnchor="text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  <w:u w:color="00000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u w:color="000000"/>
          <w:lang w:val="en-US" w:eastAsia="zh-CN"/>
        </w:rPr>
        <w:t>报名院校一览表</w:t>
      </w:r>
    </w:p>
    <w:p>
      <w:pPr>
        <w:keepNext w:val="0"/>
        <w:keepLines w:val="0"/>
        <w:pageBreakBefore w:val="0"/>
        <w:framePr w:wrap="around" w:vAnchor="margin" w:hAnchor="text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en-US" w:eastAsia="zh-CN"/>
        </w:rPr>
      </w:pPr>
    </w:p>
    <w:tbl>
      <w:tblPr>
        <w:tblStyle w:val="3"/>
        <w:tblW w:w="48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"/>
        <w:gridCol w:w="2549"/>
        <w:gridCol w:w="20"/>
        <w:gridCol w:w="2489"/>
        <w:gridCol w:w="7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在深圳报名考试的学校如下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（详情请致电招生咨询老师）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式</w:t>
            </w:r>
          </w:p>
        </w:tc>
        <w:tc>
          <w:tcPr>
            <w:tcW w:w="1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学校</w:t>
            </w:r>
          </w:p>
        </w:tc>
        <w:tc>
          <w:tcPr>
            <w:tcW w:w="1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层次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学制/年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成人高考</w:t>
            </w:r>
          </w:p>
        </w:tc>
        <w:tc>
          <w:tcPr>
            <w:tcW w:w="15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湖南工业大学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（一本）</w:t>
            </w:r>
          </w:p>
        </w:tc>
        <w:tc>
          <w:tcPr>
            <w:tcW w:w="1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高升专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</w:p>
        </w:tc>
        <w:tc>
          <w:tcPr>
            <w:tcW w:w="15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</w:p>
        </w:tc>
        <w:tc>
          <w:tcPr>
            <w:tcW w:w="1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</w:p>
        </w:tc>
        <w:tc>
          <w:tcPr>
            <w:tcW w:w="1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益阳教育学院</w:t>
            </w:r>
          </w:p>
        </w:tc>
        <w:tc>
          <w:tcPr>
            <w:tcW w:w="1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高升专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电大</w:t>
            </w:r>
          </w:p>
        </w:tc>
        <w:tc>
          <w:tcPr>
            <w:tcW w:w="1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国家开放大学</w:t>
            </w:r>
          </w:p>
        </w:tc>
        <w:tc>
          <w:tcPr>
            <w:tcW w:w="1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高升专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远程教育</w:t>
            </w:r>
          </w:p>
        </w:tc>
        <w:tc>
          <w:tcPr>
            <w:tcW w:w="1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陕西师范大学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（211）</w:t>
            </w:r>
          </w:p>
        </w:tc>
        <w:tc>
          <w:tcPr>
            <w:tcW w:w="1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在深圳报名、湖南考试的学校如下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（详情请致电招生咨询老师）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形式</w:t>
            </w:r>
          </w:p>
        </w:tc>
        <w:tc>
          <w:tcPr>
            <w:tcW w:w="15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学校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层次</w:t>
            </w:r>
          </w:p>
        </w:tc>
        <w:tc>
          <w:tcPr>
            <w:tcW w:w="15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vertAlign w:val="baseline"/>
                <w:lang w:val="en-US" w:eastAsia="zh-CN"/>
              </w:rPr>
              <w:t>学制/年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3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成人高考</w:t>
            </w: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湖南信息学院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湖南涉外经济学院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tabs>
                <w:tab w:val="left" w:pos="403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湖南电子科技职业学院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湖南师范大学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tabs>
                <w:tab w:val="left" w:pos="403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湖南农业大学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tabs>
                <w:tab w:val="left" w:pos="403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中南林业科技大学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tabs>
                <w:tab w:val="left" w:pos="403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湖南医药学院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tabs>
                <w:tab w:val="left" w:pos="403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湖南中医药大学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tabs>
                <w:tab w:val="left" w:pos="403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长沙学院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湖南文理学院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长沙师范学院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湖南工商大学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长沙理工大学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湖南城市学院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湖南科技大学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南华大学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长沙职业技术学院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湖南环境生物职业技术学院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湘南学院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湖南航空职工工学院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益阳教育学院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湘潭大学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  <w:t>湖南工业大学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537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电大</w:t>
            </w:r>
          </w:p>
        </w:tc>
        <w:tc>
          <w:tcPr>
            <w:tcW w:w="153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国家开放大学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高升专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  <w:t>远程教育</w:t>
            </w:r>
          </w:p>
        </w:tc>
        <w:tc>
          <w:tcPr>
            <w:tcW w:w="1537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  <w:t>陕西师范大学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  <w:t>专升本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color="000000"/>
                <w:lang w:val="en-US" w:eastAsia="zh-CN"/>
              </w:rPr>
              <w:t>2.5</w:t>
            </w:r>
          </w:p>
        </w:tc>
      </w:tr>
    </w:tbl>
    <w:p>
      <w:pPr>
        <w:wordWrap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CN"/>
        </w:rPr>
      </w:pPr>
    </w:p>
    <w:p>
      <w:bookmarkStart w:id="0" w:name="_GoBack"/>
      <w:bookmarkEnd w:id="0"/>
    </w:p>
    <w:sectPr>
      <w:pgSz w:w="11906" w:h="16838"/>
      <w:pgMar w:top="1701" w:right="1701" w:bottom="1587" w:left="170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137E1"/>
    <w:rsid w:val="73E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2020-03-19T01:01:00Z</dcterms:created>
  <dc:creator>深房中协 惠金玲</dc:creator>
  <cp:lastModifiedBy>深房中协 惠金玲</cp:lastModifiedBy>
  <dcterms:modified xsi:type="dcterms:W3CDTF">2020-03-19T01:02:07Z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