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pStyle w:val="4"/>
        <w:keepNext w:val="0"/>
        <w:keepLines w:val="0"/>
        <w:widowControl/>
        <w:suppressLineNumbers w:val="0"/>
        <w:spacing w:before="0" w:beforeAutospacing="0" w:after="0" w:afterAutospacing="0" w:line="560" w:lineRule="atLeast"/>
        <w:ind w:left="0" w:right="0" w:firstLine="0"/>
        <w:jc w:val="center"/>
        <w:rPr>
          <w:rFonts w:ascii="微软雅黑" w:hAnsi="微软雅黑" w:eastAsia="微软雅黑" w:cs="微软雅黑"/>
          <w:i w:val="0"/>
          <w:caps w:val="0"/>
          <w:color w:val="000000"/>
          <w:spacing w:val="0"/>
          <w:sz w:val="27"/>
          <w:szCs w:val="27"/>
        </w:rPr>
      </w:pPr>
      <w:r>
        <w:rPr>
          <w:rFonts w:ascii="黑体" w:hAnsi="宋体" w:eastAsia="黑体" w:cs="黑体"/>
          <w:b/>
          <w:i w:val="0"/>
          <w:caps w:val="0"/>
          <w:color w:val="000000"/>
          <w:spacing w:val="0"/>
          <w:sz w:val="44"/>
          <w:szCs w:val="44"/>
        </w:rPr>
        <w:t>深圳市房地产中介机构、分支机构</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黑体" w:hAnsi="宋体" w:eastAsia="黑体" w:cs="黑体"/>
          <w:b/>
          <w:i w:val="0"/>
          <w:caps w:val="0"/>
          <w:color w:val="000000"/>
          <w:spacing w:val="0"/>
          <w:sz w:val="44"/>
          <w:szCs w:val="44"/>
        </w:rPr>
        <w:t>星级管理办法</w:t>
      </w:r>
    </w:p>
    <w:p>
      <w:pPr>
        <w:pStyle w:val="4"/>
        <w:keepNext w:val="0"/>
        <w:keepLines w:val="0"/>
        <w:widowControl/>
        <w:suppressLineNumbers w:val="0"/>
        <w:spacing w:before="0" w:beforeAutospacing="0" w:after="0" w:afterAutospacing="0" w:line="560" w:lineRule="atLeast"/>
        <w:ind w:left="0" w:right="0" w:firstLine="630"/>
        <w:rPr>
          <w:rFonts w:hint="eastAsia" w:ascii="微软雅黑" w:hAnsi="微软雅黑" w:eastAsia="微软雅黑" w:cs="微软雅黑"/>
          <w:i w:val="0"/>
          <w:caps w:val="0"/>
          <w:color w:val="000000"/>
          <w:spacing w:val="0"/>
          <w:sz w:val="27"/>
          <w:szCs w:val="27"/>
        </w:rPr>
      </w:pPr>
      <w:r>
        <w:rPr>
          <w:rFonts w:ascii="仿宋" w:hAnsi="仿宋" w:eastAsia="仿宋" w:cs="仿宋"/>
          <w:i w:val="0"/>
          <w:caps w:val="0"/>
          <w:color w:val="000000"/>
          <w:spacing w:val="0"/>
          <w:sz w:val="24"/>
          <w:szCs w:val="24"/>
        </w:rPr>
        <w:t>（本办法于2013年10月11日本协会自律专业委员会2013年第六次会议审议通过；于2014年11月5日本协会第二届理事会第八次会议做第一次修订；于2015年12月23日经本</w:t>
      </w:r>
      <w:r>
        <w:rPr>
          <w:rFonts w:hint="eastAsia" w:ascii="仿宋" w:hAnsi="仿宋" w:eastAsia="仿宋" w:cs="仿宋"/>
          <w:i w:val="0"/>
          <w:caps w:val="0"/>
          <w:color w:val="000000"/>
          <w:spacing w:val="0"/>
          <w:sz w:val="24"/>
          <w:szCs w:val="24"/>
        </w:rPr>
        <w:t>协会第三届理事会第三次会议做第二次修订，于2017年11月29日经本协会第三届理事会第十次会议做第三次修订</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rPr>
        <w:t>于20</w:t>
      </w:r>
      <w:r>
        <w:rPr>
          <w:rFonts w:hint="eastAsia" w:ascii="仿宋" w:hAnsi="仿宋" w:eastAsia="仿宋" w:cs="仿宋"/>
          <w:i w:val="0"/>
          <w:caps w:val="0"/>
          <w:color w:val="000000"/>
          <w:spacing w:val="0"/>
          <w:sz w:val="24"/>
          <w:szCs w:val="24"/>
          <w:lang w:val="en-US" w:eastAsia="zh-CN"/>
        </w:rPr>
        <w:t>20</w:t>
      </w:r>
      <w:r>
        <w:rPr>
          <w:rFonts w:hint="eastAsia" w:ascii="仿宋" w:hAnsi="仿宋" w:eastAsia="仿宋" w:cs="仿宋"/>
          <w:i w:val="0"/>
          <w:caps w:val="0"/>
          <w:color w:val="000000"/>
          <w:spacing w:val="0"/>
          <w:sz w:val="24"/>
          <w:szCs w:val="24"/>
        </w:rPr>
        <w:t>年</w:t>
      </w:r>
      <w:r>
        <w:rPr>
          <w:rFonts w:hint="eastAsia" w:ascii="仿宋" w:hAnsi="仿宋" w:eastAsia="仿宋" w:cs="仿宋"/>
          <w:i w:val="0"/>
          <w:caps w:val="0"/>
          <w:color w:val="000000"/>
          <w:spacing w:val="0"/>
          <w:sz w:val="24"/>
          <w:szCs w:val="24"/>
          <w:lang w:val="en-US" w:eastAsia="zh-CN"/>
        </w:rPr>
        <w:t>8</w:t>
      </w:r>
      <w:r>
        <w:rPr>
          <w:rFonts w:hint="eastAsia" w:ascii="仿宋" w:hAnsi="仿宋" w:eastAsia="仿宋" w:cs="仿宋"/>
          <w:i w:val="0"/>
          <w:caps w:val="0"/>
          <w:color w:val="000000"/>
          <w:spacing w:val="0"/>
          <w:sz w:val="24"/>
          <w:szCs w:val="24"/>
        </w:rPr>
        <w:t>月</w:t>
      </w:r>
      <w:r>
        <w:rPr>
          <w:rFonts w:hint="eastAsia" w:ascii="仿宋" w:hAnsi="仿宋" w:eastAsia="仿宋" w:cs="仿宋"/>
          <w:i w:val="0"/>
          <w:caps w:val="0"/>
          <w:color w:val="000000"/>
          <w:spacing w:val="0"/>
          <w:sz w:val="24"/>
          <w:szCs w:val="24"/>
          <w:lang w:val="en-US" w:eastAsia="zh-CN"/>
        </w:rPr>
        <w:t>21</w:t>
      </w:r>
      <w:r>
        <w:rPr>
          <w:rFonts w:hint="eastAsia" w:ascii="仿宋" w:hAnsi="仿宋" w:eastAsia="仿宋" w:cs="仿宋"/>
          <w:i w:val="0"/>
          <w:caps w:val="0"/>
          <w:color w:val="000000"/>
          <w:spacing w:val="0"/>
          <w:sz w:val="24"/>
          <w:szCs w:val="24"/>
        </w:rPr>
        <w:t>日经本协会第</w:t>
      </w:r>
      <w:r>
        <w:rPr>
          <w:rFonts w:hint="eastAsia" w:ascii="仿宋" w:hAnsi="仿宋" w:eastAsia="仿宋" w:cs="仿宋"/>
          <w:i w:val="0"/>
          <w:caps w:val="0"/>
          <w:color w:val="000000"/>
          <w:spacing w:val="0"/>
          <w:sz w:val="24"/>
          <w:szCs w:val="24"/>
          <w:lang w:val="en-US" w:eastAsia="zh-CN"/>
        </w:rPr>
        <w:t>四</w:t>
      </w:r>
      <w:r>
        <w:rPr>
          <w:rFonts w:hint="eastAsia" w:ascii="仿宋" w:hAnsi="仿宋" w:eastAsia="仿宋" w:cs="仿宋"/>
          <w:i w:val="0"/>
          <w:caps w:val="0"/>
          <w:color w:val="000000"/>
          <w:spacing w:val="0"/>
          <w:sz w:val="24"/>
          <w:szCs w:val="24"/>
        </w:rPr>
        <w:t>届理事会第</w:t>
      </w:r>
      <w:r>
        <w:rPr>
          <w:rFonts w:hint="eastAsia" w:ascii="仿宋" w:hAnsi="仿宋" w:eastAsia="仿宋" w:cs="仿宋"/>
          <w:i w:val="0"/>
          <w:caps w:val="0"/>
          <w:color w:val="000000"/>
          <w:spacing w:val="0"/>
          <w:sz w:val="24"/>
          <w:szCs w:val="24"/>
          <w:lang w:val="en-US" w:eastAsia="zh-CN"/>
        </w:rPr>
        <w:t>七</w:t>
      </w:r>
      <w:r>
        <w:rPr>
          <w:rFonts w:hint="eastAsia" w:ascii="仿宋" w:hAnsi="仿宋" w:eastAsia="仿宋" w:cs="仿宋"/>
          <w:i w:val="0"/>
          <w:caps w:val="0"/>
          <w:color w:val="000000"/>
          <w:spacing w:val="0"/>
          <w:sz w:val="24"/>
          <w:szCs w:val="24"/>
        </w:rPr>
        <w:t>次会议做第</w:t>
      </w:r>
      <w:r>
        <w:rPr>
          <w:rFonts w:hint="eastAsia" w:ascii="仿宋" w:hAnsi="仿宋" w:eastAsia="仿宋" w:cs="仿宋"/>
          <w:i w:val="0"/>
          <w:caps w:val="0"/>
          <w:color w:val="000000"/>
          <w:spacing w:val="0"/>
          <w:sz w:val="24"/>
          <w:szCs w:val="24"/>
          <w:lang w:val="en-US" w:eastAsia="zh-CN"/>
        </w:rPr>
        <w:t>四</w:t>
      </w:r>
      <w:bookmarkStart w:id="0" w:name="_GoBack"/>
      <w:bookmarkEnd w:id="0"/>
      <w:r>
        <w:rPr>
          <w:rFonts w:hint="eastAsia" w:ascii="仿宋" w:hAnsi="仿宋" w:eastAsia="仿宋" w:cs="仿宋"/>
          <w:i w:val="0"/>
          <w:caps w:val="0"/>
          <w:color w:val="000000"/>
          <w:spacing w:val="0"/>
          <w:sz w:val="24"/>
          <w:szCs w:val="24"/>
        </w:rPr>
        <w:t>次修订。)</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第一章 总则</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第一条 【目的和依据】</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为规范深圳市房地产中介行业秩序，营造良好的行业文化氛围，提升行业社会形象，推动行业健康可持续发展，依据《深圳市房地产市场监管办法》等规定，制定本办法。</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第二条 【适用范围】</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本办法适用于在我市开展房地产中介业务或提供房地产中介关联服务的机构（以下统称为“房地产中介机构”），及其下辖分支机构的星级评定与管理。</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第三条 【机构、</w:t>
      </w:r>
      <w:r>
        <w:rPr>
          <w:rFonts w:hint="eastAsia" w:ascii="仿宋" w:hAnsi="仿宋" w:eastAsia="仿宋" w:cs="仿宋"/>
          <w:b/>
          <w:i w:val="0"/>
          <w:caps w:val="0"/>
          <w:color w:val="000000"/>
          <w:spacing w:val="0"/>
          <w:sz w:val="32"/>
          <w:szCs w:val="32"/>
          <w:lang w:eastAsia="zh-CN"/>
        </w:rPr>
        <w:t>分支机构</w:t>
      </w:r>
      <w:r>
        <w:rPr>
          <w:rFonts w:hint="eastAsia" w:ascii="仿宋" w:hAnsi="仿宋" w:eastAsia="仿宋" w:cs="仿宋"/>
          <w:b/>
          <w:i w:val="0"/>
          <w:caps w:val="0"/>
          <w:color w:val="000000"/>
          <w:spacing w:val="0"/>
          <w:sz w:val="32"/>
          <w:szCs w:val="32"/>
        </w:rPr>
        <w:t>星级、星级级别定义】</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房地产中介机构、分支机构星级是指依照本办法，评定出的房地产中介机构、分支机构的专业服务等级。</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房地产中介机构、分支机构的星级级别，由低到高依次划分为一星、二星、三星、四星、五星。</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获评星级的房地产中介机构、分支机构分别称为星级机构、星级分支机构。</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第四条 【管理机构】</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深圳市房地产中介协会（以下简称“本会”）星级评定与管理委员会负责星级机构、星级分支机构的评定与管理。</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第五条 【星级标识】</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星级机构、星级分支机构由本会颁发相应星级标识。</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星级标识应在对应星级机构、星级分支机构显著位置公示。</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第六条 【星级公示】</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星级机构、星级分支机构的评定结果通过深圳市房地产中介行业星级评价平台（以下简称“星级评价平台”）公布。</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第七条 【星级有效期】</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val="0"/>
          <w:i w:val="0"/>
          <w:caps w:val="0"/>
          <w:color w:val="000000"/>
          <w:spacing w:val="0"/>
          <w:sz w:val="32"/>
          <w:szCs w:val="32"/>
        </w:rPr>
        <w:t>　　房地产中介机构、分支机构的星级有效期原则上为一年，称之为一个“星级周期”。其中星级机构的星级周期与该机构会员周期一致。</w:t>
      </w:r>
      <w:r>
        <w:rPr>
          <w:rFonts w:hint="eastAsia" w:ascii="仿宋" w:hAnsi="仿宋" w:eastAsia="仿宋" w:cs="仿宋"/>
          <w:b/>
          <w:i w:val="0"/>
          <w:caps w:val="0"/>
          <w:color w:val="000000"/>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3" w:firstLineChars="200"/>
        <w:textAlignment w:val="auto"/>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第八条 【释义】</w:t>
      </w:r>
    </w:p>
    <w:p>
      <w:pPr>
        <w:pStyle w:val="4"/>
        <w:keepNext w:val="0"/>
        <w:keepLines w:val="0"/>
        <w:widowControl/>
        <w:suppressLineNumbers w:val="0"/>
        <w:spacing w:before="0" w:beforeAutospacing="0" w:after="0" w:afterAutospacing="0" w:line="560" w:lineRule="atLeast"/>
        <w:ind w:left="0" w:right="0" w:firstLine="642"/>
        <w:rPr>
          <w:rFonts w:ascii="仿宋" w:hAnsi="仿宋" w:eastAsia="仿宋" w:cs="仿宋"/>
          <w:i w:val="0"/>
          <w:caps w:val="0"/>
          <w:color w:val="000000"/>
          <w:spacing w:val="0"/>
          <w:sz w:val="32"/>
          <w:szCs w:val="32"/>
        </w:rPr>
      </w:pPr>
      <w:r>
        <w:rPr>
          <w:rFonts w:ascii="仿宋" w:hAnsi="仿宋" w:eastAsia="仿宋" w:cs="仿宋"/>
          <w:i w:val="0"/>
          <w:caps w:val="0"/>
          <w:color w:val="000000"/>
          <w:spacing w:val="0"/>
          <w:sz w:val="32"/>
          <w:szCs w:val="32"/>
        </w:rPr>
        <w:t>本办法所称星级人员，是指依据《深圳市房地产中介人员星级管理办法》被评定星级的房地产中介人员的统称。</w:t>
      </w:r>
    </w:p>
    <w:p>
      <w:pPr>
        <w:pStyle w:val="4"/>
        <w:keepNext w:val="0"/>
        <w:keepLines w:val="0"/>
        <w:widowControl/>
        <w:suppressLineNumbers w:val="0"/>
        <w:spacing w:before="0" w:beforeAutospacing="0" w:after="0" w:afterAutospacing="0" w:line="560" w:lineRule="atLeast"/>
        <w:ind w:left="0" w:right="0" w:firstLine="642"/>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星级平均数，是指机构及分支机构下辖全部星级人员的星级总数除以机构及分支机构总数，即为星级平均数。</w:t>
      </w:r>
    </w:p>
    <w:p>
      <w:pPr>
        <w:pStyle w:val="4"/>
        <w:keepNext w:val="0"/>
        <w:keepLines w:val="0"/>
        <w:widowControl/>
        <w:suppressLineNumbers w:val="0"/>
        <w:spacing w:before="0" w:beforeAutospacing="0" w:after="0" w:afterAutospacing="0" w:line="560" w:lineRule="atLeast"/>
        <w:ind w:left="0" w:right="0" w:firstLine="642"/>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其中，</w:t>
      </w:r>
      <w:r>
        <w:rPr>
          <w:rFonts w:hint="eastAsia" w:ascii="仿宋" w:hAnsi="仿宋" w:eastAsia="仿宋" w:cs="仿宋"/>
          <w:i w:val="0"/>
          <w:caps w:val="0"/>
          <w:color w:val="000000"/>
          <w:spacing w:val="0"/>
          <w:sz w:val="32"/>
          <w:szCs w:val="32"/>
        </w:rPr>
        <w:t>业绩数为机构名下业绩总数（当前周期+上一周期）</w:t>
      </w:r>
      <w:r>
        <w:rPr>
          <w:rFonts w:hint="eastAsia" w:ascii="仿宋" w:hAnsi="仿宋" w:eastAsia="仿宋" w:cs="仿宋"/>
          <w:i w:val="0"/>
          <w:caps w:val="0"/>
          <w:color w:val="000000"/>
          <w:spacing w:val="0"/>
          <w:sz w:val="32"/>
          <w:szCs w:val="32"/>
          <w:lang w:eastAsia="zh-CN"/>
        </w:rPr>
        <w:t>；分支机构数=n+1（n为分支机构数量，1为总机构）；分支机构的数量=已备案从事经纪行业的机构的下辖未注销的所有分支机构；投诉数据计算周期以查验数据当天算，往前推1年（自然年），投诉率</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lang w:eastAsia="zh-CN"/>
        </w:rPr>
        <w:t>查实投诉数量/往前一年时间周期的会员单位总体查实投诉数量。所有涉及的机构均为已备案从事经纪行业的机构。计入业绩为此条件下机构的所有申报业绩；行业内的投诉是此条件下机构的所有查实投诉。</w:t>
      </w:r>
    </w:p>
    <w:p>
      <w:pPr>
        <w:pStyle w:val="4"/>
        <w:keepNext w:val="0"/>
        <w:keepLines w:val="0"/>
        <w:widowControl/>
        <w:suppressLineNumbers w:val="0"/>
        <w:spacing w:before="0" w:beforeAutospacing="0" w:after="0" w:afterAutospacing="0" w:line="560" w:lineRule="atLeast"/>
        <w:ind w:left="0" w:right="0" w:firstLine="642"/>
        <w:rPr>
          <w:rFonts w:hint="eastAsia" w:ascii="仿宋" w:hAnsi="仿宋" w:eastAsia="仿宋" w:cs="仿宋"/>
          <w:i w:val="0"/>
          <w:caps w:val="0"/>
          <w:color w:val="000000"/>
          <w:spacing w:val="0"/>
          <w:sz w:val="32"/>
          <w:szCs w:val="32"/>
          <w:lang w:eastAsia="zh-CN"/>
        </w:rPr>
      </w:pP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第二章 星级申请与评定</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w:t>
      </w:r>
      <w:r>
        <w:rPr>
          <w:rFonts w:hint="eastAsia" w:ascii="仿宋" w:hAnsi="仿宋" w:eastAsia="仿宋" w:cs="仿宋"/>
          <w:b/>
          <w:i w:val="0"/>
          <w:caps w:val="0"/>
          <w:color w:val="000000"/>
          <w:spacing w:val="0"/>
          <w:sz w:val="32"/>
          <w:szCs w:val="32"/>
        </w:rPr>
        <w:t>　第九条 【星级申请】</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所有遵守《深圳市房地产市场监管办法》、《深圳市房地产中介行业从业规范》、《深圳市房地产中介行业黑名单暨企业风险警示名单实施办法》等行政规章或自律规定的中介机构、分支机构均可申请星级。</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第十条 【中介机构星级评定】</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1.符合以下条件的中介机构，可评定为“五星”：</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（1）当前为本会团体会员且上5个周期皆为本会团体会员；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）下辖至少5名五星级人员</w:t>
      </w:r>
      <w:r>
        <w:rPr>
          <w:rFonts w:hint="eastAsia" w:ascii="仿宋" w:hAnsi="仿宋" w:eastAsia="仿宋" w:cs="仿宋"/>
          <w:i w:val="0"/>
          <w:caps w:val="0"/>
          <w:color w:val="000000"/>
          <w:spacing w:val="0"/>
          <w:sz w:val="32"/>
          <w:szCs w:val="32"/>
          <w:lang w:val="en-US"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）机构下辖有不良行为记录的中介人员数量占下辖人员总数的比例不得高于10%；</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下辖分支机构平均</w:t>
      </w:r>
      <w:r>
        <w:rPr>
          <w:rFonts w:hint="eastAsia" w:ascii="仿宋" w:hAnsi="仿宋" w:eastAsia="仿宋" w:cs="仿宋"/>
          <w:i w:val="0"/>
          <w:caps w:val="0"/>
          <w:color w:val="000000"/>
          <w:spacing w:val="0"/>
          <w:sz w:val="32"/>
          <w:szCs w:val="32"/>
        </w:rPr>
        <w:t>业绩申报数高于行业</w:t>
      </w:r>
      <w:r>
        <w:rPr>
          <w:rFonts w:hint="eastAsia" w:ascii="仿宋" w:hAnsi="仿宋" w:eastAsia="仿宋" w:cs="仿宋"/>
          <w:i w:val="0"/>
          <w:caps w:val="0"/>
          <w:color w:val="000000"/>
          <w:spacing w:val="0"/>
          <w:sz w:val="32"/>
          <w:szCs w:val="32"/>
          <w:lang w:eastAsia="zh-CN"/>
        </w:rPr>
        <w:t>分支机构平均</w:t>
      </w:r>
      <w:r>
        <w:rPr>
          <w:rFonts w:hint="eastAsia" w:ascii="仿宋" w:hAnsi="仿宋" w:eastAsia="仿宋" w:cs="仿宋"/>
          <w:i w:val="0"/>
          <w:caps w:val="0"/>
          <w:color w:val="000000"/>
          <w:spacing w:val="0"/>
          <w:sz w:val="32"/>
          <w:szCs w:val="32"/>
        </w:rPr>
        <w:t>申报数的20%；</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）机构查实投诉率</w:t>
      </w:r>
      <w:r>
        <w:rPr>
          <w:rFonts w:hint="eastAsia" w:ascii="仿宋" w:hAnsi="仿宋" w:eastAsia="仿宋" w:cs="仿宋"/>
          <w:i w:val="0"/>
          <w:caps w:val="0"/>
          <w:color w:val="000000"/>
          <w:spacing w:val="0"/>
          <w:sz w:val="32"/>
          <w:szCs w:val="32"/>
          <w:lang w:eastAsia="zh-CN"/>
        </w:rPr>
        <w:t>低</w:t>
      </w:r>
      <w:r>
        <w:rPr>
          <w:rFonts w:hint="eastAsia" w:ascii="仿宋" w:hAnsi="仿宋" w:eastAsia="仿宋" w:cs="仿宋"/>
          <w:i w:val="0"/>
          <w:caps w:val="0"/>
          <w:color w:val="000000"/>
          <w:spacing w:val="0"/>
          <w:sz w:val="32"/>
          <w:szCs w:val="32"/>
        </w:rPr>
        <w:t>于行业投诉率</w:t>
      </w:r>
      <w:r>
        <w:rPr>
          <w:rFonts w:hint="eastAsia" w:ascii="仿宋" w:hAnsi="仿宋" w:eastAsia="仿宋" w:cs="仿宋"/>
          <w:i w:val="0"/>
          <w:caps w:val="0"/>
          <w:color w:val="000000"/>
          <w:spacing w:val="0"/>
          <w:sz w:val="32"/>
          <w:szCs w:val="32"/>
          <w:lang w:val="en-US" w:eastAsia="zh-CN"/>
        </w:rPr>
        <w:t>20%</w:t>
      </w:r>
      <w:r>
        <w:rPr>
          <w:rFonts w:hint="eastAsia" w:ascii="仿宋" w:hAnsi="仿宋" w:eastAsia="仿宋" w:cs="仿宋"/>
          <w:i w:val="0"/>
          <w:caps w:val="0"/>
          <w:color w:val="000000"/>
          <w:spacing w:val="0"/>
          <w:sz w:val="32"/>
          <w:szCs w:val="32"/>
        </w:rPr>
        <w:t>，且</w:t>
      </w:r>
      <w:r>
        <w:rPr>
          <w:rFonts w:hint="eastAsia" w:ascii="仿宋" w:hAnsi="仿宋" w:eastAsia="仿宋" w:cs="仿宋"/>
          <w:i w:val="0"/>
          <w:caps w:val="0"/>
          <w:color w:val="000000"/>
          <w:spacing w:val="0"/>
          <w:sz w:val="32"/>
          <w:szCs w:val="32"/>
          <w:lang w:eastAsia="zh-CN"/>
        </w:rPr>
        <w:t>无</w:t>
      </w:r>
      <w:r>
        <w:rPr>
          <w:rFonts w:hint="eastAsia" w:ascii="仿宋" w:hAnsi="仿宋" w:eastAsia="仿宋" w:cs="仿宋"/>
          <w:i w:val="0"/>
          <w:caps w:val="0"/>
          <w:color w:val="000000"/>
          <w:spacing w:val="0"/>
          <w:sz w:val="32"/>
          <w:szCs w:val="32"/>
        </w:rPr>
        <w:t>C类不良行为。</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2.符合以下条件的中介机构，可评定为“四星”：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（1）当前为本会团体会员且上4个周期皆为本会团体会员；</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rPr>
        <w:t>（2）下辖至少</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名</w:t>
      </w:r>
      <w:r>
        <w:rPr>
          <w:rFonts w:hint="eastAsia" w:ascii="仿宋" w:hAnsi="仿宋" w:eastAsia="仿宋" w:cs="仿宋"/>
          <w:i w:val="0"/>
          <w:caps w:val="0"/>
          <w:color w:val="000000"/>
          <w:spacing w:val="0"/>
          <w:sz w:val="32"/>
          <w:szCs w:val="32"/>
          <w:lang w:eastAsia="zh-CN"/>
        </w:rPr>
        <w:t>四</w:t>
      </w:r>
      <w:r>
        <w:rPr>
          <w:rFonts w:hint="eastAsia" w:ascii="仿宋" w:hAnsi="仿宋" w:eastAsia="仿宋" w:cs="仿宋"/>
          <w:i w:val="0"/>
          <w:caps w:val="0"/>
          <w:color w:val="000000"/>
          <w:spacing w:val="0"/>
          <w:sz w:val="32"/>
          <w:szCs w:val="32"/>
        </w:rPr>
        <w:t>星级人员</w:t>
      </w:r>
      <w:r>
        <w:rPr>
          <w:rFonts w:hint="eastAsia" w:ascii="仿宋" w:hAnsi="仿宋" w:eastAsia="仿宋" w:cs="仿宋"/>
          <w:i w:val="0"/>
          <w:caps w:val="0"/>
          <w:color w:val="000000"/>
          <w:spacing w:val="0"/>
          <w:sz w:val="32"/>
          <w:szCs w:val="32"/>
          <w:lang w:val="en-US" w:eastAsia="zh-CN"/>
        </w:rPr>
        <w:t>;</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）机构下辖有不良行为记录的中介人员数量占下辖人员总数的比例不得高于</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0%；</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下辖分支机构平均</w:t>
      </w:r>
      <w:r>
        <w:rPr>
          <w:rFonts w:hint="eastAsia" w:ascii="仿宋" w:hAnsi="仿宋" w:eastAsia="仿宋" w:cs="仿宋"/>
          <w:i w:val="0"/>
          <w:caps w:val="0"/>
          <w:color w:val="000000"/>
          <w:spacing w:val="0"/>
          <w:sz w:val="32"/>
          <w:szCs w:val="32"/>
        </w:rPr>
        <w:t>业绩申报数高于行业</w:t>
      </w:r>
      <w:r>
        <w:rPr>
          <w:rFonts w:hint="eastAsia" w:ascii="仿宋" w:hAnsi="仿宋" w:eastAsia="仿宋" w:cs="仿宋"/>
          <w:i w:val="0"/>
          <w:caps w:val="0"/>
          <w:color w:val="000000"/>
          <w:spacing w:val="0"/>
          <w:sz w:val="32"/>
          <w:szCs w:val="32"/>
          <w:lang w:eastAsia="zh-CN"/>
        </w:rPr>
        <w:t>分支机构平</w:t>
      </w:r>
      <w:r>
        <w:rPr>
          <w:rFonts w:hint="eastAsia" w:ascii="仿宋" w:hAnsi="仿宋" w:eastAsia="仿宋" w:cs="仿宋"/>
          <w:i w:val="0"/>
          <w:caps w:val="0"/>
          <w:color w:val="000000"/>
          <w:spacing w:val="0"/>
          <w:sz w:val="32"/>
          <w:szCs w:val="32"/>
        </w:rPr>
        <w:t>均申报数的</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0%；</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）机构查实投诉率</w:t>
      </w:r>
      <w:r>
        <w:rPr>
          <w:rFonts w:hint="eastAsia" w:ascii="仿宋" w:hAnsi="仿宋" w:eastAsia="仿宋" w:cs="仿宋"/>
          <w:i w:val="0"/>
          <w:caps w:val="0"/>
          <w:color w:val="000000"/>
          <w:spacing w:val="0"/>
          <w:sz w:val="32"/>
          <w:szCs w:val="32"/>
          <w:lang w:eastAsia="zh-CN"/>
        </w:rPr>
        <w:t>低</w:t>
      </w:r>
      <w:r>
        <w:rPr>
          <w:rFonts w:hint="eastAsia" w:ascii="仿宋" w:hAnsi="仿宋" w:eastAsia="仿宋" w:cs="仿宋"/>
          <w:i w:val="0"/>
          <w:caps w:val="0"/>
          <w:color w:val="000000"/>
          <w:spacing w:val="0"/>
          <w:sz w:val="32"/>
          <w:szCs w:val="32"/>
        </w:rPr>
        <w:t>于行业投诉率</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，且</w:t>
      </w:r>
      <w:r>
        <w:rPr>
          <w:rFonts w:hint="eastAsia" w:ascii="仿宋" w:hAnsi="仿宋" w:eastAsia="仿宋" w:cs="仿宋"/>
          <w:i w:val="0"/>
          <w:caps w:val="0"/>
          <w:color w:val="000000"/>
          <w:spacing w:val="0"/>
          <w:sz w:val="32"/>
          <w:szCs w:val="32"/>
          <w:lang w:eastAsia="zh-CN"/>
        </w:rPr>
        <w:t>无</w:t>
      </w:r>
      <w:r>
        <w:rPr>
          <w:rFonts w:hint="eastAsia" w:ascii="仿宋" w:hAnsi="仿宋" w:eastAsia="仿宋" w:cs="仿宋"/>
          <w:i w:val="0"/>
          <w:caps w:val="0"/>
          <w:color w:val="000000"/>
          <w:spacing w:val="0"/>
          <w:sz w:val="32"/>
          <w:szCs w:val="32"/>
        </w:rPr>
        <w:t>C类不良行为。</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3.符合以下条件的中介机构，可评定为“三星”：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（1）当前为本会团体会员且上</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个周期皆为本会团体会员；</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rPr>
        <w:t>（2）下辖至少</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名星级人员且不少于行业星级平均数</w:t>
      </w:r>
      <w:r>
        <w:rPr>
          <w:rFonts w:hint="eastAsia" w:ascii="仿宋" w:hAnsi="仿宋" w:eastAsia="仿宋" w:cs="仿宋"/>
          <w:i w:val="0"/>
          <w:caps w:val="0"/>
          <w:color w:val="000000"/>
          <w:spacing w:val="0"/>
          <w:sz w:val="32"/>
          <w:szCs w:val="32"/>
          <w:lang w:val="en-US" w:eastAsia="zh-CN"/>
        </w:rPr>
        <w:t>;</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）机构下辖有不良行为记录的中介人员数量占下辖人员总数的比例不得高于</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0%；</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下辖分支机构</w:t>
      </w:r>
      <w:r>
        <w:rPr>
          <w:rFonts w:hint="eastAsia" w:ascii="仿宋" w:hAnsi="仿宋" w:eastAsia="仿宋" w:cs="仿宋"/>
          <w:i w:val="0"/>
          <w:caps w:val="0"/>
          <w:color w:val="000000"/>
          <w:spacing w:val="0"/>
          <w:sz w:val="32"/>
          <w:szCs w:val="32"/>
        </w:rPr>
        <w:t>均业绩申报数</w:t>
      </w:r>
      <w:r>
        <w:rPr>
          <w:rFonts w:hint="eastAsia" w:ascii="仿宋" w:hAnsi="仿宋" w:eastAsia="仿宋" w:cs="仿宋"/>
          <w:i w:val="0"/>
          <w:caps w:val="0"/>
          <w:color w:val="000000"/>
          <w:spacing w:val="0"/>
          <w:sz w:val="32"/>
          <w:szCs w:val="32"/>
          <w:lang w:eastAsia="zh-CN"/>
        </w:rPr>
        <w:t>不低于</w:t>
      </w:r>
      <w:r>
        <w:rPr>
          <w:rFonts w:hint="eastAsia" w:ascii="仿宋" w:hAnsi="仿宋" w:eastAsia="仿宋" w:cs="仿宋"/>
          <w:i w:val="0"/>
          <w:caps w:val="0"/>
          <w:color w:val="000000"/>
          <w:spacing w:val="0"/>
          <w:sz w:val="32"/>
          <w:szCs w:val="32"/>
        </w:rPr>
        <w:t>行业</w:t>
      </w:r>
      <w:r>
        <w:rPr>
          <w:rFonts w:hint="eastAsia" w:ascii="仿宋" w:hAnsi="仿宋" w:eastAsia="仿宋" w:cs="仿宋"/>
          <w:i w:val="0"/>
          <w:caps w:val="0"/>
          <w:color w:val="000000"/>
          <w:spacing w:val="0"/>
          <w:sz w:val="32"/>
          <w:szCs w:val="32"/>
          <w:lang w:eastAsia="zh-CN"/>
        </w:rPr>
        <w:t>分支机构平</w:t>
      </w:r>
      <w:r>
        <w:rPr>
          <w:rFonts w:hint="eastAsia" w:ascii="仿宋" w:hAnsi="仿宋" w:eastAsia="仿宋" w:cs="仿宋"/>
          <w:i w:val="0"/>
          <w:caps w:val="0"/>
          <w:color w:val="000000"/>
          <w:spacing w:val="0"/>
          <w:sz w:val="32"/>
          <w:szCs w:val="32"/>
        </w:rPr>
        <w:t>均申报数；</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）机构查实投诉率</w:t>
      </w:r>
      <w:r>
        <w:rPr>
          <w:rFonts w:hint="eastAsia" w:ascii="仿宋" w:hAnsi="仿宋" w:eastAsia="仿宋" w:cs="仿宋"/>
          <w:i w:val="0"/>
          <w:caps w:val="0"/>
          <w:color w:val="000000"/>
          <w:spacing w:val="0"/>
          <w:sz w:val="32"/>
          <w:szCs w:val="32"/>
          <w:lang w:eastAsia="zh-CN"/>
        </w:rPr>
        <w:t>不高于</w:t>
      </w:r>
      <w:r>
        <w:rPr>
          <w:rFonts w:hint="eastAsia" w:ascii="仿宋" w:hAnsi="仿宋" w:eastAsia="仿宋" w:cs="仿宋"/>
          <w:i w:val="0"/>
          <w:caps w:val="0"/>
          <w:color w:val="000000"/>
          <w:spacing w:val="0"/>
          <w:sz w:val="32"/>
          <w:szCs w:val="32"/>
        </w:rPr>
        <w:t>行业投诉率。</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4.符合以下条件的中介机构，可评定为“二星”：</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（1）当前为本会团体会员且上</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个周期皆为本会团体会员；</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rPr>
        <w:t>（2）下辖至少</w:t>
      </w:r>
      <w:r>
        <w:rPr>
          <w:rFonts w:hint="eastAsia" w:ascii="仿宋" w:hAnsi="仿宋" w:eastAsia="仿宋" w:cs="仿宋"/>
          <w:i w:val="0"/>
          <w:caps w:val="0"/>
          <w:color w:val="000000"/>
          <w:spacing w:val="0"/>
          <w:sz w:val="32"/>
          <w:szCs w:val="32"/>
          <w:lang w:val="en-US" w:eastAsia="zh-CN"/>
        </w:rPr>
        <w:t>5名</w:t>
      </w:r>
      <w:r>
        <w:rPr>
          <w:rFonts w:hint="eastAsia" w:ascii="仿宋" w:hAnsi="仿宋" w:eastAsia="仿宋" w:cs="仿宋"/>
          <w:i w:val="0"/>
          <w:caps w:val="0"/>
          <w:color w:val="000000"/>
          <w:spacing w:val="0"/>
          <w:sz w:val="32"/>
          <w:szCs w:val="32"/>
        </w:rPr>
        <w:t>星级人员</w:t>
      </w:r>
      <w:r>
        <w:rPr>
          <w:rFonts w:hint="eastAsia" w:ascii="仿宋" w:hAnsi="仿宋" w:eastAsia="仿宋" w:cs="仿宋"/>
          <w:i w:val="0"/>
          <w:caps w:val="0"/>
          <w:color w:val="000000"/>
          <w:spacing w:val="0"/>
          <w:sz w:val="32"/>
          <w:szCs w:val="32"/>
          <w:lang w:val="en-US" w:eastAsia="zh-CN"/>
        </w:rPr>
        <w:t>;</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）机构内有不良行为记录的经纪人员数量占人员总数40%以下；</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42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下辖分支机构</w:t>
      </w:r>
      <w:r>
        <w:rPr>
          <w:rFonts w:hint="eastAsia" w:ascii="仿宋" w:hAnsi="仿宋" w:eastAsia="仿宋" w:cs="仿宋"/>
          <w:i w:val="0"/>
          <w:caps w:val="0"/>
          <w:color w:val="000000"/>
          <w:spacing w:val="0"/>
          <w:sz w:val="32"/>
          <w:szCs w:val="32"/>
        </w:rPr>
        <w:t>均业绩申报数</w:t>
      </w:r>
      <w:r>
        <w:rPr>
          <w:rFonts w:hint="eastAsia" w:ascii="仿宋" w:hAnsi="仿宋" w:eastAsia="仿宋" w:cs="仿宋"/>
          <w:i w:val="0"/>
          <w:caps w:val="0"/>
          <w:color w:val="000000"/>
          <w:spacing w:val="0"/>
          <w:sz w:val="32"/>
          <w:szCs w:val="32"/>
          <w:lang w:eastAsia="zh-CN"/>
        </w:rPr>
        <w:t>不低于</w:t>
      </w:r>
      <w:r>
        <w:rPr>
          <w:rFonts w:hint="eastAsia" w:ascii="仿宋" w:hAnsi="仿宋" w:eastAsia="仿宋" w:cs="仿宋"/>
          <w:i w:val="0"/>
          <w:caps w:val="0"/>
          <w:color w:val="000000"/>
          <w:spacing w:val="0"/>
          <w:sz w:val="32"/>
          <w:szCs w:val="32"/>
        </w:rPr>
        <w:t>行业</w:t>
      </w:r>
      <w:r>
        <w:rPr>
          <w:rFonts w:hint="eastAsia" w:ascii="仿宋" w:hAnsi="仿宋" w:eastAsia="仿宋" w:cs="仿宋"/>
          <w:i w:val="0"/>
          <w:caps w:val="0"/>
          <w:color w:val="000000"/>
          <w:spacing w:val="0"/>
          <w:sz w:val="32"/>
          <w:szCs w:val="32"/>
          <w:lang w:eastAsia="zh-CN"/>
        </w:rPr>
        <w:t>分支机构平</w:t>
      </w:r>
      <w:r>
        <w:rPr>
          <w:rFonts w:hint="eastAsia" w:ascii="仿宋" w:hAnsi="仿宋" w:eastAsia="仿宋" w:cs="仿宋"/>
          <w:i w:val="0"/>
          <w:caps w:val="0"/>
          <w:color w:val="000000"/>
          <w:spacing w:val="0"/>
          <w:sz w:val="32"/>
          <w:szCs w:val="32"/>
        </w:rPr>
        <w:t>均申报数</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5.符合以下条件的中介机构，可评定为“一星”：</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（1）当前为本会团体会员；</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（2）当前周期内机构不良行为记录未超过六次；</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（3）下辖至少五名星级人员；</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（4）未聘用“行业黑名单”内人员。</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第十一条 【分支机构星级评定】</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1.符合以下条件的分支机构，可评定为“五星”：</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（1）所属机构当前有星级且其上4个周期皆为本会团体会员；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）本分支机构内有不良行为记录的中介人员数量占下辖人员总数的比例不得高于10%</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）下辖至少5名星级人员，其中至少1名五星人员，或至少2名四星及以上人员，且下辖人员星级总数高于行业</w:t>
      </w:r>
      <w:r>
        <w:rPr>
          <w:rFonts w:hint="eastAsia" w:ascii="仿宋" w:hAnsi="仿宋" w:eastAsia="仿宋" w:cs="仿宋"/>
          <w:i w:val="0"/>
          <w:caps w:val="0"/>
          <w:color w:val="000000"/>
          <w:spacing w:val="0"/>
          <w:sz w:val="32"/>
          <w:szCs w:val="32"/>
          <w:lang w:eastAsia="zh-CN"/>
        </w:rPr>
        <w:t>分支机构</w:t>
      </w:r>
      <w:r>
        <w:rPr>
          <w:rFonts w:hint="eastAsia" w:ascii="仿宋" w:hAnsi="仿宋" w:eastAsia="仿宋" w:cs="仿宋"/>
          <w:i w:val="0"/>
          <w:caps w:val="0"/>
          <w:color w:val="000000"/>
          <w:spacing w:val="0"/>
          <w:sz w:val="32"/>
          <w:szCs w:val="32"/>
        </w:rPr>
        <w:t>星级平均数的20%</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）投诉率低于行业分支机构</w:t>
      </w:r>
      <w:r>
        <w:rPr>
          <w:rFonts w:hint="eastAsia" w:ascii="仿宋" w:hAnsi="仿宋" w:eastAsia="仿宋" w:cs="仿宋"/>
          <w:i w:val="0"/>
          <w:caps w:val="0"/>
          <w:color w:val="000000"/>
          <w:spacing w:val="0"/>
          <w:sz w:val="32"/>
          <w:szCs w:val="32"/>
          <w:lang w:eastAsia="zh-CN"/>
        </w:rPr>
        <w:t>平</w:t>
      </w:r>
      <w:r>
        <w:rPr>
          <w:rFonts w:hint="eastAsia" w:ascii="仿宋" w:hAnsi="仿宋" w:eastAsia="仿宋" w:cs="仿宋"/>
          <w:i w:val="0"/>
          <w:caps w:val="0"/>
          <w:color w:val="000000"/>
          <w:spacing w:val="0"/>
          <w:sz w:val="32"/>
          <w:szCs w:val="32"/>
        </w:rPr>
        <w:t>均投诉率</w:t>
      </w:r>
      <w:r>
        <w:rPr>
          <w:rFonts w:hint="eastAsia" w:ascii="仿宋" w:hAnsi="仿宋" w:eastAsia="仿宋" w:cs="仿宋"/>
          <w:i w:val="0"/>
          <w:caps w:val="0"/>
          <w:color w:val="000000"/>
          <w:spacing w:val="0"/>
          <w:sz w:val="32"/>
          <w:szCs w:val="32"/>
          <w:lang w:eastAsia="zh-CN"/>
        </w:rPr>
        <w:t>的</w:t>
      </w:r>
      <w:r>
        <w:rPr>
          <w:rFonts w:hint="eastAsia" w:ascii="仿宋" w:hAnsi="仿宋" w:eastAsia="仿宋" w:cs="仿宋"/>
          <w:i w:val="0"/>
          <w:caps w:val="0"/>
          <w:color w:val="000000"/>
          <w:spacing w:val="0"/>
          <w:sz w:val="32"/>
          <w:szCs w:val="32"/>
          <w:lang w:val="en-US" w:eastAsia="zh-CN"/>
        </w:rPr>
        <w:t>20%</w:t>
      </w:r>
      <w:r>
        <w:rPr>
          <w:rFonts w:hint="eastAsia" w:ascii="仿宋" w:hAnsi="仿宋" w:eastAsia="仿宋" w:cs="仿宋"/>
          <w:i w:val="0"/>
          <w:caps w:val="0"/>
          <w:color w:val="000000"/>
          <w:spacing w:val="0"/>
          <w:sz w:val="32"/>
          <w:szCs w:val="32"/>
        </w:rPr>
        <w:t>；</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）分支机构下辖人均业绩申报数高于行业分支机构人均申报数的20%，且</w:t>
      </w:r>
      <w:r>
        <w:rPr>
          <w:rFonts w:hint="eastAsia" w:ascii="仿宋" w:hAnsi="仿宋" w:eastAsia="仿宋" w:cs="仿宋"/>
          <w:i w:val="0"/>
          <w:caps w:val="0"/>
          <w:color w:val="000000"/>
          <w:spacing w:val="0"/>
          <w:sz w:val="32"/>
          <w:szCs w:val="32"/>
          <w:lang w:eastAsia="zh-CN"/>
        </w:rPr>
        <w:t>无</w:t>
      </w:r>
      <w:r>
        <w:rPr>
          <w:rFonts w:hint="eastAsia" w:ascii="仿宋" w:hAnsi="仿宋" w:eastAsia="仿宋" w:cs="仿宋"/>
          <w:i w:val="0"/>
          <w:caps w:val="0"/>
          <w:color w:val="000000"/>
          <w:spacing w:val="0"/>
          <w:sz w:val="32"/>
          <w:szCs w:val="32"/>
        </w:rPr>
        <w:t>C类不良行为。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firstLine="640" w:firstLineChars="200"/>
        <w:textAlignment w:val="auto"/>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2.符合以下条件的分支机构，可评定为“四星”：</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（1）所属机构当前有星级且其上</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个周期皆为本会团体会员；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）本分支机构内有不良行为记录的中介人员数量占下辖人员总数的比例不得高于</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0%</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）下辖至少5名星级人员，其中至少1名四星人员，或至少2名三星及以上人员，且下辖人员星级总数高于行业分支机构星级平均数的10%</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）投诉率低于行业分支机构</w:t>
      </w:r>
      <w:r>
        <w:rPr>
          <w:rFonts w:hint="eastAsia" w:ascii="仿宋" w:hAnsi="仿宋" w:eastAsia="仿宋" w:cs="仿宋"/>
          <w:i w:val="0"/>
          <w:caps w:val="0"/>
          <w:color w:val="000000"/>
          <w:spacing w:val="0"/>
          <w:sz w:val="32"/>
          <w:szCs w:val="32"/>
          <w:lang w:eastAsia="zh-CN"/>
        </w:rPr>
        <w:t>平</w:t>
      </w:r>
      <w:r>
        <w:rPr>
          <w:rFonts w:hint="eastAsia" w:ascii="仿宋" w:hAnsi="仿宋" w:eastAsia="仿宋" w:cs="仿宋"/>
          <w:i w:val="0"/>
          <w:caps w:val="0"/>
          <w:color w:val="000000"/>
          <w:spacing w:val="0"/>
          <w:sz w:val="32"/>
          <w:szCs w:val="32"/>
        </w:rPr>
        <w:t>均投诉率</w:t>
      </w:r>
      <w:r>
        <w:rPr>
          <w:rFonts w:hint="eastAsia" w:ascii="仿宋" w:hAnsi="仿宋" w:eastAsia="仿宋" w:cs="仿宋"/>
          <w:i w:val="0"/>
          <w:caps w:val="0"/>
          <w:color w:val="000000"/>
          <w:spacing w:val="0"/>
          <w:sz w:val="32"/>
          <w:szCs w:val="32"/>
          <w:lang w:eastAsia="zh-CN"/>
        </w:rPr>
        <w:t>的</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）分支机构下辖人均业绩申报数高于行业分支机构</w:t>
      </w:r>
      <w:r>
        <w:rPr>
          <w:rFonts w:hint="eastAsia" w:ascii="仿宋" w:hAnsi="仿宋" w:eastAsia="仿宋" w:cs="仿宋"/>
          <w:i w:val="0"/>
          <w:caps w:val="0"/>
          <w:color w:val="000000"/>
          <w:spacing w:val="0"/>
          <w:sz w:val="32"/>
          <w:szCs w:val="32"/>
          <w:lang w:eastAsia="zh-CN"/>
        </w:rPr>
        <w:t>平</w:t>
      </w:r>
      <w:r>
        <w:rPr>
          <w:rFonts w:hint="eastAsia" w:ascii="仿宋" w:hAnsi="仿宋" w:eastAsia="仿宋" w:cs="仿宋"/>
          <w:i w:val="0"/>
          <w:caps w:val="0"/>
          <w:color w:val="000000"/>
          <w:spacing w:val="0"/>
          <w:sz w:val="32"/>
          <w:szCs w:val="32"/>
        </w:rPr>
        <w:t>均人均申报数的</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0%，且</w:t>
      </w:r>
      <w:r>
        <w:rPr>
          <w:rFonts w:hint="eastAsia" w:ascii="仿宋" w:hAnsi="仿宋" w:eastAsia="仿宋" w:cs="仿宋"/>
          <w:i w:val="0"/>
          <w:caps w:val="0"/>
          <w:color w:val="000000"/>
          <w:spacing w:val="0"/>
          <w:sz w:val="32"/>
          <w:szCs w:val="32"/>
          <w:lang w:eastAsia="zh-CN"/>
        </w:rPr>
        <w:t>无</w:t>
      </w:r>
      <w:r>
        <w:rPr>
          <w:rFonts w:hint="eastAsia" w:ascii="仿宋" w:hAnsi="仿宋" w:eastAsia="仿宋" w:cs="仿宋"/>
          <w:i w:val="0"/>
          <w:caps w:val="0"/>
          <w:color w:val="000000"/>
          <w:spacing w:val="0"/>
          <w:sz w:val="32"/>
          <w:szCs w:val="32"/>
        </w:rPr>
        <w:t>C类不良行为。</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3.符合以下条件的分支机构，可评定为“三星”：</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（1）所属机构当前有星级且其上</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个周期皆为本会团体会员；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）本分支机构内有不良行为记录的中介人员数量占下辖人员总数的比例不得高于</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0%</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）下辖至少5名星级人员，其中至少1名三星人员，或至少2名二星及以上人员，且下辖人员星级总数不低于行业分支机构星级平均数</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）投诉率</w:t>
      </w:r>
      <w:r>
        <w:rPr>
          <w:rFonts w:hint="eastAsia" w:ascii="仿宋" w:hAnsi="仿宋" w:eastAsia="仿宋" w:cs="仿宋"/>
          <w:i w:val="0"/>
          <w:caps w:val="0"/>
          <w:color w:val="000000"/>
          <w:spacing w:val="0"/>
          <w:sz w:val="32"/>
          <w:szCs w:val="32"/>
          <w:lang w:eastAsia="zh-CN"/>
        </w:rPr>
        <w:t>不高于</w:t>
      </w:r>
      <w:r>
        <w:rPr>
          <w:rFonts w:hint="eastAsia" w:ascii="仿宋" w:hAnsi="仿宋" w:eastAsia="仿宋" w:cs="仿宋"/>
          <w:i w:val="0"/>
          <w:caps w:val="0"/>
          <w:color w:val="000000"/>
          <w:spacing w:val="0"/>
          <w:sz w:val="32"/>
          <w:szCs w:val="32"/>
        </w:rPr>
        <w:t>行业分支机构</w:t>
      </w:r>
      <w:r>
        <w:rPr>
          <w:rFonts w:hint="eastAsia" w:ascii="仿宋" w:hAnsi="仿宋" w:eastAsia="仿宋" w:cs="仿宋"/>
          <w:i w:val="0"/>
          <w:caps w:val="0"/>
          <w:color w:val="000000"/>
          <w:spacing w:val="0"/>
          <w:sz w:val="32"/>
          <w:szCs w:val="32"/>
          <w:lang w:eastAsia="zh-CN"/>
        </w:rPr>
        <w:t>平</w:t>
      </w:r>
      <w:r>
        <w:rPr>
          <w:rFonts w:hint="eastAsia" w:ascii="仿宋" w:hAnsi="仿宋" w:eastAsia="仿宋" w:cs="仿宋"/>
          <w:i w:val="0"/>
          <w:caps w:val="0"/>
          <w:color w:val="000000"/>
          <w:spacing w:val="0"/>
          <w:sz w:val="32"/>
          <w:szCs w:val="32"/>
        </w:rPr>
        <w:t>均投诉率；</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）分支机构下辖人均业绩申报数</w:t>
      </w:r>
      <w:r>
        <w:rPr>
          <w:rFonts w:hint="eastAsia" w:ascii="仿宋" w:hAnsi="仿宋" w:eastAsia="仿宋" w:cs="仿宋"/>
          <w:i w:val="0"/>
          <w:caps w:val="0"/>
          <w:color w:val="000000"/>
          <w:spacing w:val="0"/>
          <w:sz w:val="32"/>
          <w:szCs w:val="32"/>
          <w:lang w:eastAsia="zh-CN"/>
        </w:rPr>
        <w:t>不低于</w:t>
      </w:r>
      <w:r>
        <w:rPr>
          <w:rFonts w:hint="eastAsia" w:ascii="仿宋" w:hAnsi="仿宋" w:eastAsia="仿宋" w:cs="仿宋"/>
          <w:i w:val="0"/>
          <w:caps w:val="0"/>
          <w:color w:val="000000"/>
          <w:spacing w:val="0"/>
          <w:sz w:val="32"/>
          <w:szCs w:val="32"/>
        </w:rPr>
        <w:t>行业分支机构人均申报数。</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4.符合以下条件的分支机构，可评定为“二星”：</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（1）所属机构当前有星级且其上</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个周期皆为本会团体会员；</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）本分支机构内有不良行为记录的中介人员数量占下辖人员总数的比例不得高于</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0%</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）下辖至少5名星级人员,其中至少2名二星及以上人员，且下辖人员星级总数达到9颗星</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）未聘用“行业黑名单”内人员</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5.符合以下条件的分支机构，可评定为“一星”：</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（1）所属机构当前有星级；</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）下辖至少5名星级人员且全部人员星级总数累计不少于5颗星</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）未聘用“行业黑名单”内人员</w:t>
      </w:r>
      <w:r>
        <w:rPr>
          <w:rFonts w:hint="eastAsia" w:ascii="仿宋" w:hAnsi="仿宋" w:eastAsia="仿宋" w:cs="仿宋"/>
          <w:i w:val="0"/>
          <w:caps w:val="0"/>
          <w:color w:val="000000"/>
          <w:spacing w:val="0"/>
          <w:sz w:val="32"/>
          <w:szCs w:val="32"/>
          <w:lang w:eastAsia="zh-CN"/>
        </w:rPr>
        <w:t>。</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第三章 星级管理</w:t>
      </w:r>
    </w:p>
    <w:p>
      <w:pPr>
        <w:pStyle w:val="4"/>
        <w:keepNext w:val="0"/>
        <w:keepLines w:val="0"/>
        <w:widowControl/>
        <w:suppressLineNumbers w:val="0"/>
        <w:spacing w:before="0" w:beforeAutospacing="0" w:after="0" w:afterAutospacing="0" w:line="560" w:lineRule="atLeast"/>
        <w:ind w:left="0" w:right="0" w:firstLine="412"/>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第十二条【星级动态评定】</w:t>
      </w:r>
    </w:p>
    <w:p>
      <w:pPr>
        <w:pStyle w:val="4"/>
        <w:keepNext w:val="0"/>
        <w:keepLines w:val="0"/>
        <w:widowControl/>
        <w:suppressLineNumbers w:val="0"/>
        <w:spacing w:before="0" w:beforeAutospacing="0" w:after="0" w:afterAutospacing="0" w:line="560" w:lineRule="atLeast"/>
        <w:ind w:left="0" w:right="0" w:firstLine="412"/>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星级机构、星级分支机构在其星级周期内，依据本办法第十条、第十一条评定条件，实施星级级别动态评定。</w:t>
      </w:r>
    </w:p>
    <w:p>
      <w:pPr>
        <w:pStyle w:val="4"/>
        <w:keepNext w:val="0"/>
        <w:keepLines w:val="0"/>
        <w:widowControl/>
        <w:suppressLineNumbers w:val="0"/>
        <w:spacing w:before="0" w:beforeAutospacing="0" w:after="0" w:afterAutospacing="0" w:line="560" w:lineRule="atLeast"/>
        <w:ind w:left="0" w:right="0" w:firstLine="412"/>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第十三条【星级提升】</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星级机构、星级分支机构须在星级周期到期前进行星级提升，则其星级周期顺延。</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星级机构、分支机构的星级周期到期未进行星级提升的，须重新申请星级，其历史会员周期数归零。</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第十四条【星级信息变更】</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星级机构及星级分支机构下列信息发生变更的，应在30日内向本会秘书处备案变更内容：</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1.机构或分支机构名称；</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2.机构或分支机构营业地址。</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第十五条 【星级标识更换】</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在星级周期内星级标识上所显示名称、星级级别等内容发生变化时，星级机构、星级分支机构应主动、及时申请更换星级标识。</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第十六条 【星级暂停】</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星级机构、星级分支机构在星级周期内暂时中止从事房地产中介业务的，应当主动申请办理星级暂停。暂停期间视为无星级。</w:t>
      </w:r>
    </w:p>
    <w:p>
      <w:pPr>
        <w:pStyle w:val="4"/>
        <w:keepNext w:val="0"/>
        <w:keepLines w:val="0"/>
        <w:widowControl/>
        <w:suppressLineNumbers w:val="0"/>
        <w:spacing w:before="0" w:beforeAutospacing="0" w:after="0" w:afterAutospacing="0" w:line="560" w:lineRule="atLeast"/>
        <w:ind w:left="0" w:right="0" w:firstLine="42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暂停星级的机构或分支机构所属机构继续履行会员义务并按要求完成星级提升的，星级周期内可随时申请恢复星级。</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第十七条 【星级注销】</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星级机构、星级分支机构终止从事房地产中介业务的，应申请办理星级注销。</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第十八条 【星级吊销】</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星级机构、星级分支机构有下列行为之一且未按要求整改的，星级评定与管理委员会有权吊销其星级：</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1.申请星级时弄虚作假，或涂改、伪造与实际星级信息不符的星级标识的；</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2.随意涂改、伪造与实际星级信息不符的星级标识的；</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3.违反本办法第十四、十五条规定的；</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4.被本会自律专业委员会列入“行业黑名单”的；</w:t>
      </w:r>
    </w:p>
    <w:p>
      <w:pPr>
        <w:pStyle w:val="4"/>
        <w:keepNext w:val="0"/>
        <w:keepLines w:val="0"/>
        <w:widowControl/>
        <w:suppressLineNumbers w:val="0"/>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5.其他星级评定与管理委员会认为性质恶劣，应予吊销星级的。</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星级吊销之日起两年内，机构或分支机构不予评定星级。　</w:t>
      </w:r>
    </w:p>
    <w:p>
      <w:pPr>
        <w:pStyle w:val="4"/>
        <w:keepNext w:val="0"/>
        <w:keepLines w:val="0"/>
        <w:widowControl/>
        <w:suppressLineNumbers w:val="0"/>
        <w:spacing w:before="0" w:beforeAutospacing="0" w:after="0" w:afterAutospacing="0" w:line="56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第四章 附则</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第十九条 【办法修订】</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本办法的修订经本会理事会审议通过后生效。</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第二十条 【解释机构】</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本办法由本会理事会负责解释。</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b/>
          <w:i w:val="0"/>
          <w:caps w:val="0"/>
          <w:color w:val="000000"/>
          <w:spacing w:val="0"/>
          <w:sz w:val="32"/>
          <w:szCs w:val="32"/>
        </w:rPr>
        <w:t>　　第二十一条 【施行日期】</w:t>
      </w:r>
    </w:p>
    <w:p>
      <w:pPr>
        <w:pStyle w:val="4"/>
        <w:keepNext w:val="0"/>
        <w:keepLines w:val="0"/>
        <w:widowControl/>
        <w:suppressLineNumbers w:val="0"/>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D1815"/>
    <w:rsid w:val="0F4A22B8"/>
    <w:rsid w:val="218476AC"/>
    <w:rsid w:val="302F2B3F"/>
    <w:rsid w:val="38BA16DF"/>
    <w:rsid w:val="3D987147"/>
    <w:rsid w:val="40504576"/>
    <w:rsid w:val="4E5D1815"/>
    <w:rsid w:val="5A611348"/>
    <w:rsid w:val="61B622C8"/>
    <w:rsid w:val="6D044CD8"/>
    <w:rsid w:val="6E8B41D5"/>
    <w:rsid w:val="741057B2"/>
    <w:rsid w:val="7562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黑体" w:cs="宋体"/>
      <w:b/>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640" w:firstLineChars="200"/>
      <w:outlineLvl w:val="1"/>
    </w:pPr>
    <w:rPr>
      <w:rFonts w:ascii="Arial" w:hAnsi="Arial" w:eastAsia="仿宋"/>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我的落款"/>
    <w:basedOn w:val="1"/>
    <w:qFormat/>
    <w:uiPriority w:val="0"/>
    <w:pPr>
      <w:spacing w:line="560" w:lineRule="exact"/>
      <w:ind w:right="1680" w:rightChars="800"/>
      <w:jc w:val="right"/>
    </w:pPr>
    <w:rPr>
      <w:rFonts w:ascii="Calibri" w:hAnsi="Calibri" w:eastAsia="仿宋"/>
      <w:sz w:val="32"/>
      <w:szCs w:val="22"/>
    </w:rPr>
  </w:style>
  <w:style w:type="paragraph" w:customStyle="1" w:styleId="8">
    <w:name w:val="我的文本"/>
    <w:basedOn w:val="1"/>
    <w:qFormat/>
    <w:uiPriority w:val="0"/>
    <w:pPr>
      <w:spacing w:line="560" w:lineRule="exact"/>
      <w:ind w:firstLine="883" w:firstLineChars="200"/>
    </w:pPr>
    <w:rPr>
      <w:rFonts w:eastAsia="仿宋" w:asciiTheme="minorAscii" w:hAnsiTheme="minorAscii"/>
      <w:sz w:val="32"/>
    </w:rPr>
  </w:style>
  <w:style w:type="paragraph" w:customStyle="1" w:styleId="9">
    <w:name w:val="我的正文"/>
    <w:basedOn w:val="1"/>
    <w:qFormat/>
    <w:uiPriority w:val="0"/>
    <w:pPr>
      <w:spacing w:line="560" w:lineRule="exact"/>
      <w:ind w:firstLine="883" w:firstLineChars="200"/>
    </w:pPr>
    <w:rPr>
      <w:rFonts w:eastAsia="仿宋" w:asciiTheme="minorAscii" w:hAnsiTheme="minorAscii"/>
      <w:sz w:val="32"/>
    </w:rPr>
  </w:style>
  <w:style w:type="paragraph" w:customStyle="1" w:styleId="10">
    <w:name w:val="职业化落款"/>
    <w:basedOn w:val="1"/>
    <w:qFormat/>
    <w:uiPriority w:val="0"/>
    <w:pPr>
      <w:spacing w:line="560" w:lineRule="exact"/>
      <w:ind w:right="1260" w:rightChars="600"/>
      <w:jc w:val="right"/>
    </w:pPr>
    <w:rPr>
      <w:rFonts w:ascii="Calibri" w:hAnsi="Calibri" w:eastAsia="仿宋" w:cs="Times New Roman"/>
      <w:sz w:val="32"/>
      <w:szCs w:val="22"/>
    </w:rPr>
  </w:style>
  <w:style w:type="paragraph" w:customStyle="1" w:styleId="11">
    <w:name w:val="职业化文本"/>
    <w:basedOn w:val="1"/>
    <w:qFormat/>
    <w:uiPriority w:val="0"/>
    <w:pPr>
      <w:spacing w:line="560" w:lineRule="exact"/>
      <w:ind w:firstLine="883" w:firstLineChars="200"/>
    </w:pPr>
    <w:rPr>
      <w:rFonts w:eastAsia="仿宋" w:cs="Times New Roman"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2020-08-21T03:15:00Z</dcterms:created>
  <dc:creator>深房中协 惠金玲</dc:creator>
  <cp:lastModifiedBy>深房中协 惠金玲</cp:lastModifiedBy>
  <dcterms:modified xsi:type="dcterms:W3CDTF">2020-08-21T03:20:17Z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